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i w:val="1"/>
                <w:color w:val="ea222d"/>
                <w:sz w:val="48"/>
                <w:szCs w:val="48"/>
              </w:rPr>
            </w:pPr>
            <w:r w:rsidDel="00000000" w:rsidR="00000000" w:rsidRPr="00000000">
              <w:rPr>
                <w:rFonts w:ascii="Helvetica Neue" w:cs="Helvetica Neue" w:eastAsia="Helvetica Neue" w:hAnsi="Helvetica Neue"/>
                <w:b w:val="1"/>
                <w:color w:val="ea222d"/>
                <w:sz w:val="24"/>
                <w:szCs w:val="24"/>
                <w:rtl w:val="0"/>
              </w:rPr>
              <w:t xml:space="preserve"> </w:t>
            </w:r>
            <w:r w:rsidDel="00000000" w:rsidR="00000000" w:rsidRPr="00000000">
              <w:rPr>
                <w:rFonts w:ascii="Helvetica Neue" w:cs="Helvetica Neue" w:eastAsia="Helvetica Neue" w:hAnsi="Helvetica Neue"/>
                <w:i w:val="1"/>
                <w:color w:val="ea222d"/>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i w:val="1"/>
                <w:sz w:val="36"/>
                <w:szCs w:val="36"/>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African Americans</w:t>
            </w:r>
            <w:r w:rsidDel="00000000" w:rsidR="00000000" w:rsidRPr="00000000">
              <w:rPr>
                <w:rFonts w:ascii="Helvetica Neue" w:cs="Helvetica Neue" w:eastAsia="Helvetica Neue" w:hAnsi="Helvetica Neue"/>
                <w:b w:val="1"/>
                <w:color w:val="ed232d"/>
                <w:sz w:val="32"/>
                <w:szCs w:val="32"/>
                <w:rtl w:val="0"/>
              </w:rPr>
              <w:t xml:space="preserve">: The Declaration’s </w:t>
            </w:r>
            <w:r w:rsidDel="00000000" w:rsidR="00000000" w:rsidRPr="00000000">
              <w:rPr>
                <w:rFonts w:ascii="Helvetica Neue" w:cs="Helvetica Neue" w:eastAsia="Helvetica Neue" w:hAnsi="Helvetica Neue"/>
                <w:b w:val="1"/>
                <w:color w:val="ed232d"/>
                <w:sz w:val="32"/>
                <w:szCs w:val="32"/>
                <w:rtl w:val="0"/>
              </w:rPr>
              <w:t xml:space="preserve">189th Birthday </w:t>
            </w:r>
            <w:r w:rsidDel="00000000" w:rsidR="00000000" w:rsidRPr="00000000">
              <w:rPr>
                <w:rFonts w:ascii="Helvetica Neue" w:cs="Helvetica Neue" w:eastAsia="Helvetica Neue" w:hAnsi="Helvetica Neue"/>
                <w:b w:val="1"/>
                <w:color w:val="ed232d"/>
                <w:sz w:val="32"/>
                <w:szCs w:val="32"/>
                <w:rtl w:val="0"/>
              </w:rPr>
              <w:t xml:space="preserve">in 1965</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 CONTENTS</w:t>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1936554873"/>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5</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3933825</wp:posOffset>
            </wp:positionH>
            <wp:positionV relativeFrom="paragraph">
              <wp:posOffset>2185988</wp:posOffset>
            </wp:positionV>
            <wp:extent cx="3034289" cy="903157"/>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034289" cy="90315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-190499</wp:posOffset>
            </wp:positionH>
            <wp:positionV relativeFrom="paragraph">
              <wp:posOffset>2219065</wp:posOffset>
            </wp:positionV>
            <wp:extent cx="3787841" cy="836482"/>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787841" cy="836482"/>
                    </a:xfrm>
                    <a:prstGeom prst="rect"/>
                    <a:ln/>
                  </pic:spPr>
                </pic:pic>
              </a:graphicData>
            </a:graphic>
          </wp:anchor>
        </w:drawing>
      </w:r>
    </w:p>
    <w:p w:rsidR="00000000" w:rsidDel="00000000" w:rsidP="00000000" w:rsidRDefault="00000000" w:rsidRPr="00000000" w14:paraId="0000001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in its 189th</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year. The focus will be on the promises outlined in the Declaration and their connection to African Americans during the Civil Rights Movement.</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did the promises of the Declaration of Independence serve as an inspiration to African Americans in its 189th year?</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6"/>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B">
            <w:pPr>
              <w:numPr>
                <w:ilvl w:val="0"/>
                <w:numId w:val="6"/>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C">
            <w:pPr>
              <w:numPr>
                <w:ilvl w:val="0"/>
                <w:numId w:val="6"/>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D">
            <w:pPr>
              <w:numPr>
                <w:ilvl w:val="0"/>
                <w:numId w:val="6"/>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2"/>
              </w:numPr>
              <w:spacing w:after="0" w:afterAutospacing="0" w:before="2.4"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Sample Literacy Test Questions</w:t>
            </w:r>
          </w:p>
          <w:p w:rsidR="00000000" w:rsidDel="00000000" w:rsidP="00000000" w:rsidRDefault="00000000" w:rsidRPr="00000000" w14:paraId="00000020">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C-SPAN “Poll Taxes and Literacy Tests in Selma, Alabama” Video (external link)</w:t>
            </w:r>
          </w:p>
          <w:p w:rsidR="00000000" w:rsidDel="00000000" w:rsidP="00000000" w:rsidRDefault="00000000" w:rsidRPr="00000000" w14:paraId="00000021">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Primary Source Digital Unwrapping Slides </w:t>
            </w:r>
          </w:p>
          <w:p w:rsidR="00000000" w:rsidDel="00000000" w:rsidP="00000000" w:rsidRDefault="00000000" w:rsidRPr="00000000" w14:paraId="00000022">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Promises of the Declaration of Independence Handout</w:t>
            </w:r>
          </w:p>
          <w:p w:rsidR="00000000" w:rsidDel="00000000" w:rsidP="00000000" w:rsidRDefault="00000000" w:rsidRPr="00000000" w14:paraId="00000023">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Letters Opposing the Voting Rights Act of 1965</w:t>
            </w:r>
          </w:p>
          <w:p w:rsidR="00000000" w:rsidDel="00000000" w:rsidP="00000000" w:rsidRDefault="00000000" w:rsidRPr="00000000" w14:paraId="00000024">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Letters Supporting the Voting Rights Act of 1965</w:t>
            </w:r>
          </w:p>
          <w:p w:rsidR="00000000" w:rsidDel="00000000" w:rsidP="00000000" w:rsidRDefault="00000000" w:rsidRPr="00000000" w14:paraId="00000025">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Historical Thinking Prompts Slide</w:t>
            </w:r>
          </w:p>
          <w:p w:rsidR="00000000" w:rsidDel="00000000" w:rsidP="00000000" w:rsidRDefault="00000000" w:rsidRPr="00000000" w14:paraId="00000026">
            <w:pPr>
              <w:numPr>
                <w:ilvl w:val="0"/>
                <w:numId w:val="3"/>
              </w:numPr>
              <w:spacing w:after="2.4" w:before="0" w:beforeAutospacing="0"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C-SPAN “President Johnson’s March 15, 1965 Voting Rights Speech to Congress” Video (external link)</w:t>
            </w:r>
          </w:p>
        </w:tc>
      </w:tr>
    </w:tbl>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 BACKGROUND INFORMATION</w:t>
      </w:r>
    </w:p>
    <w:p w:rsidR="00000000" w:rsidDel="00000000" w:rsidP="00000000" w:rsidRDefault="00000000" w:rsidRPr="00000000" w14:paraId="00000029">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p>
    <w:p w:rsidR="00000000" w:rsidDel="00000000" w:rsidP="00000000" w:rsidRDefault="00000000" w:rsidRPr="00000000" w14:paraId="0000002A">
      <w:pPr>
        <w:jc w:val="center"/>
        <w:rPr>
          <w:rFonts w:ascii="Helvetica Neue" w:cs="Helvetica Neue" w:eastAsia="Helvetica Neue" w:hAnsi="Helvetica Neue"/>
          <w:i w:val="1"/>
        </w:rPr>
      </w:pPr>
      <w:r w:rsidDel="00000000" w:rsidR="00000000" w:rsidRPr="00000000">
        <w:rPr>
          <w:rtl w:val="0"/>
        </w:rPr>
      </w:r>
    </w:p>
    <w:p w:rsidR="00000000" w:rsidDel="00000000" w:rsidP="00000000" w:rsidRDefault="00000000" w:rsidRPr="00000000" w14:paraId="0000002B">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w:t>
      </w:r>
      <w:r w:rsidDel="00000000" w:rsidR="00000000" w:rsidRPr="00000000">
        <w:rPr>
          <w:rFonts w:ascii="Helvetica Neue" w:cs="Helvetica Neue" w:eastAsia="Helvetica Neue" w:hAnsi="Helvetica Neue"/>
          <w:b w:val="1"/>
          <w:sz w:val="24"/>
          <w:szCs w:val="24"/>
          <w:rtl w:val="0"/>
        </w:rPr>
        <w:t xml:space="preserve"> Key Promises in the Declaration of Independence</w:t>
      </w:r>
      <w:r w:rsidDel="00000000" w:rsidR="00000000" w:rsidRPr="00000000">
        <w:rPr>
          <w:rtl w:val="0"/>
        </w:rPr>
      </w:r>
    </w:p>
    <w:p w:rsidR="00000000" w:rsidDel="00000000" w:rsidP="00000000" w:rsidRDefault="00000000" w:rsidRPr="00000000" w14:paraId="0000002C">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D">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Individualism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E">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2F">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30">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31">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 as written in the Declaration.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2">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3">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4">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w:t>
      </w:r>
      <w:r w:rsidDel="00000000" w:rsidR="00000000" w:rsidRPr="00000000">
        <w:rPr>
          <w:rFonts w:ascii="Helvetica Neue" w:cs="Helvetica Neue" w:eastAsia="Helvetica Neue" w:hAnsi="Helvetica Neue"/>
          <w:b w:val="1"/>
          <w:sz w:val="24"/>
          <w:szCs w:val="24"/>
          <w:rtl w:val="0"/>
        </w:rPr>
        <w:t xml:space="preserve"> Connecting the Promises to African Americans</w:t>
      </w:r>
      <w:r w:rsidDel="00000000" w:rsidR="00000000" w:rsidRPr="00000000">
        <w:rPr>
          <w:rtl w:val="0"/>
        </w:rPr>
      </w:r>
    </w:p>
    <w:p w:rsidR="00000000" w:rsidDel="00000000" w:rsidP="00000000" w:rsidRDefault="00000000" w:rsidRPr="00000000" w14:paraId="00000035">
      <w:pPr>
        <w:numPr>
          <w:ilvl w:val="0"/>
          <w:numId w:val="7"/>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36">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Declaration of Independence argues that “all men are created equal”. However, many have since found these sentiments contradictory when many of the </w:t>
      </w:r>
      <w:hyperlink r:id="rId13">
        <w:r w:rsidDel="00000000" w:rsidR="00000000" w:rsidRPr="00000000">
          <w:rPr>
            <w:rFonts w:ascii="Helvetica Neue" w:cs="Helvetica Neue" w:eastAsia="Helvetica Neue" w:hAnsi="Helvetica Neue"/>
            <w:color w:val="1155cc"/>
            <w:sz w:val="24"/>
            <w:szCs w:val="24"/>
            <w:u w:val="single"/>
            <w:rtl w:val="0"/>
          </w:rPr>
          <w:t xml:space="preserve">Founders owned slaves</w:t>
        </w:r>
      </w:hyperlink>
      <w:r w:rsidDel="00000000" w:rsidR="00000000" w:rsidRPr="00000000">
        <w:rPr>
          <w:rFonts w:ascii="Helvetica Neue" w:cs="Helvetica Neue" w:eastAsia="Helvetica Neue" w:hAnsi="Helvetica Neue"/>
          <w:sz w:val="24"/>
          <w:szCs w:val="24"/>
          <w:rtl w:val="0"/>
        </w:rPr>
        <w:t xml:space="preserve"> as personal property. </w:t>
      </w:r>
    </w:p>
    <w:p w:rsidR="00000000" w:rsidDel="00000000" w:rsidP="00000000" w:rsidRDefault="00000000" w:rsidRPr="00000000" w14:paraId="00000037">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national government and many state governments enacted, supported, and enforced policies and perspectives that denied African Americans equal rights and protections. This viewpoint was reflected in the United States Supreme Court’s historical </w:t>
      </w:r>
      <w:r w:rsidDel="00000000" w:rsidR="00000000" w:rsidRPr="00000000">
        <w:rPr>
          <w:rFonts w:ascii="Helvetica Neue" w:cs="Helvetica Neue" w:eastAsia="Helvetica Neue" w:hAnsi="Helvetica Neue"/>
          <w:sz w:val="24"/>
          <w:szCs w:val="24"/>
          <w:rtl w:val="0"/>
        </w:rPr>
        <w:t xml:space="preserve">decision- making,</w:t>
      </w:r>
      <w:r w:rsidDel="00000000" w:rsidR="00000000" w:rsidRPr="00000000">
        <w:rPr>
          <w:rFonts w:ascii="Helvetica Neue" w:cs="Helvetica Neue" w:eastAsia="Helvetica Neue" w:hAnsi="Helvetica Neue"/>
          <w:sz w:val="24"/>
          <w:szCs w:val="24"/>
          <w:rtl w:val="0"/>
        </w:rPr>
        <w:t xml:space="preserve"> such as in </w:t>
      </w:r>
      <w:r w:rsidDel="00000000" w:rsidR="00000000" w:rsidRPr="00000000">
        <w:rPr>
          <w:rFonts w:ascii="Helvetica Neue" w:cs="Helvetica Neue" w:eastAsia="Helvetica Neue" w:hAnsi="Helvetica Neue"/>
          <w:i w:val="1"/>
          <w:sz w:val="24"/>
          <w:szCs w:val="24"/>
          <w:rtl w:val="0"/>
        </w:rPr>
        <w:t xml:space="preserve">Dred Scott v. Sandford</w:t>
      </w:r>
      <w:r w:rsidDel="00000000" w:rsidR="00000000" w:rsidRPr="00000000">
        <w:rPr>
          <w:rFonts w:ascii="Helvetica Neue" w:cs="Helvetica Neue" w:eastAsia="Helvetica Neue" w:hAnsi="Helvetica Neue"/>
          <w:sz w:val="24"/>
          <w:szCs w:val="24"/>
          <w:rtl w:val="0"/>
        </w:rPr>
        <w:t xml:space="preserve"> (1856). In that ruling, Chief Justice Roger Taney claimed that African Americans “…were not intended to be included, under the word ‘citizens’ in the Constitution, and can therefore claim none of the rights and privileges which that instrument provides to…citizens of the United States.” This precedent reflected public viewpoints about African Americans at that time, viewpoints that in part led to the Civil War (1861-65).  Several decades after the Civil War and the ratification of the Fourteenth Amendment (1868), the United States Supreme Court decided that guarantees of equality nonetheless allowed racial segregation. For example, in </w:t>
      </w:r>
      <w:r w:rsidDel="00000000" w:rsidR="00000000" w:rsidRPr="00000000">
        <w:rPr>
          <w:rFonts w:ascii="Helvetica Neue" w:cs="Helvetica Neue" w:eastAsia="Helvetica Neue" w:hAnsi="Helvetica Neue"/>
          <w:i w:val="1"/>
          <w:sz w:val="24"/>
          <w:szCs w:val="24"/>
          <w:rtl w:val="0"/>
        </w:rPr>
        <w:t xml:space="preserve">Plessy v. Ferguson</w:t>
      </w:r>
      <w:r w:rsidDel="00000000" w:rsidR="00000000" w:rsidRPr="00000000">
        <w:rPr>
          <w:rFonts w:ascii="Helvetica Neue" w:cs="Helvetica Neue" w:eastAsia="Helvetica Neue" w:hAnsi="Helvetica Neue"/>
          <w:sz w:val="24"/>
          <w:szCs w:val="24"/>
          <w:rtl w:val="0"/>
        </w:rPr>
        <w:t xml:space="preserve"> (1896), the United States Supreme Court determined that “separate but equal” did not violate the Fourteenth Amendment’s equal protection clause. </w:t>
      </w:r>
    </w:p>
    <w:p w:rsidR="00000000" w:rsidDel="00000000" w:rsidP="00000000" w:rsidRDefault="00000000" w:rsidRPr="00000000" w14:paraId="00000038">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United States Supreme Court’s interpretation of the equal protection clause was later reinterpreted in </w:t>
      </w:r>
      <w:r w:rsidDel="00000000" w:rsidR="00000000" w:rsidRPr="00000000">
        <w:rPr>
          <w:rFonts w:ascii="Helvetica Neue" w:cs="Helvetica Neue" w:eastAsia="Helvetica Neue" w:hAnsi="Helvetica Neue"/>
          <w:i w:val="1"/>
          <w:sz w:val="24"/>
          <w:szCs w:val="24"/>
          <w:rtl w:val="0"/>
        </w:rPr>
        <w:t xml:space="preserve">Brown v. Board of Education</w:t>
      </w:r>
      <w:r w:rsidDel="00000000" w:rsidR="00000000" w:rsidRPr="00000000">
        <w:rPr>
          <w:rFonts w:ascii="Helvetica Neue" w:cs="Helvetica Neue" w:eastAsia="Helvetica Neue" w:hAnsi="Helvetica Neue"/>
          <w:sz w:val="24"/>
          <w:szCs w:val="24"/>
          <w:rtl w:val="0"/>
        </w:rPr>
        <w:t xml:space="preserve"> (1954), in which the Court suggested that “separate but equal” was inherently unequal. During the Civil Rights Movement, Supreme Court decisions and congressional action with the Civil Rights Act (1964) also supported racial equality.</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9">
      <w:pPr>
        <w:numPr>
          <w:ilvl w:val="0"/>
          <w:numId w:val="7"/>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3A">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the Declaration of Independence, the colonists argued that they deserved a government that would protect the unalienable rights of “life, liberty and the pursuit of happiness.”   Unalienable rights are those rights to which a person is entitled by virtue of being born; the government cannot deny these rights. This phrase, reflecting the “social contract” theory, further reinforces that the government is obligated to guarantee and protect unalienable rights. </w:t>
      </w:r>
    </w:p>
    <w:p w:rsidR="00000000" w:rsidDel="00000000" w:rsidP="00000000" w:rsidRDefault="00000000" w:rsidRPr="00000000" w14:paraId="0000003B">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Yet, slavery was common during the period that the Declaration of Independence was written, and for almost 100 years after that. The Founders justified slavery based on the viewpoint that </w:t>
      </w:r>
      <w:r w:rsidDel="00000000" w:rsidR="00000000" w:rsidRPr="00000000">
        <w:rPr>
          <w:rFonts w:ascii="Helvetica Neue" w:cs="Helvetica Neue" w:eastAsia="Helvetica Neue" w:hAnsi="Helvetica Neue"/>
          <w:sz w:val="24"/>
          <w:szCs w:val="24"/>
          <w:rtl w:val="0"/>
        </w:rPr>
        <w:t xml:space="preserve">African Americans were not people</w:t>
      </w:r>
      <w:r w:rsidDel="00000000" w:rsidR="00000000" w:rsidRPr="00000000">
        <w:rPr>
          <w:rFonts w:ascii="Helvetica Neue" w:cs="Helvetica Neue" w:eastAsia="Helvetica Neue" w:hAnsi="Helvetica Neue"/>
          <w:sz w:val="24"/>
          <w:szCs w:val="24"/>
          <w:rtl w:val="0"/>
        </w:rPr>
        <w:t xml:space="preserve"> and were not included in the social contract. </w:t>
      </w:r>
      <w:hyperlink r:id="rId14">
        <w:r w:rsidDel="00000000" w:rsidR="00000000" w:rsidRPr="00000000">
          <w:rPr>
            <w:rFonts w:ascii="Helvetica Neue" w:cs="Helvetica Neue" w:eastAsia="Helvetica Neue" w:hAnsi="Helvetica Neue"/>
            <w:color w:val="1155cc"/>
            <w:sz w:val="24"/>
            <w:szCs w:val="24"/>
            <w:u w:val="single"/>
            <w:rtl w:val="0"/>
          </w:rPr>
          <w:t xml:space="preserve">Thomas Jefferson worried</w:t>
        </w:r>
      </w:hyperlink>
      <w:r w:rsidDel="00000000" w:rsidR="00000000" w:rsidRPr="00000000">
        <w:rPr>
          <w:rFonts w:ascii="Helvetica Neue" w:cs="Helvetica Neue" w:eastAsia="Helvetica Neue" w:hAnsi="Helvetica Neue"/>
          <w:sz w:val="24"/>
          <w:szCs w:val="24"/>
          <w:rtl w:val="0"/>
        </w:rPr>
        <w:t xml:space="preserve"> that emancipation would inevitably degrade the republic. Many signers of the Declaration of Independence owned slaves and their writings suggest that they did not see a contradiction between their choice to own slaves and to espouse unalienable rights in the document. </w:t>
      </w:r>
    </w:p>
    <w:p w:rsidR="00000000" w:rsidDel="00000000" w:rsidP="00000000" w:rsidRDefault="00000000" w:rsidRPr="00000000" w14:paraId="0000003C">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Civil War (1861-1865) played an important role in bringing attention to this contradiction.  In the aftermath, the Thirteenth and Fourteenth amendments were added to the United States Constitution. The Thirteenth Amendment outlawed slavery, while the Fourteenth Amendment defined citizenship. These two amendments reflected efforts by the federal government to guarantee the social contract and unalienable rights to African Americans.</w:t>
      </w:r>
    </w:p>
    <w:p w:rsidR="00000000" w:rsidDel="00000000" w:rsidP="00000000" w:rsidRDefault="00000000" w:rsidRPr="00000000" w14:paraId="0000003D">
      <w:pPr>
        <w:numPr>
          <w:ilvl w:val="0"/>
          <w:numId w:val="7"/>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Consent of the Governed</w:t>
      </w:r>
    </w:p>
    <w:p w:rsidR="00000000" w:rsidDel="00000000" w:rsidP="00000000" w:rsidRDefault="00000000" w:rsidRPr="00000000" w14:paraId="0000003E">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authors of the Declaration of Independence believed that they, </w:t>
      </w:r>
      <w:hyperlink r:id="rId15">
        <w:r w:rsidDel="00000000" w:rsidR="00000000" w:rsidRPr="00000000">
          <w:rPr>
            <w:rFonts w:ascii="Helvetica Neue" w:cs="Helvetica Neue" w:eastAsia="Helvetica Neue" w:hAnsi="Helvetica Neue"/>
            <w:color w:val="1155cc"/>
            <w:sz w:val="24"/>
            <w:szCs w:val="24"/>
            <w:u w:val="single"/>
            <w:rtl w:val="0"/>
          </w:rPr>
          <w:t xml:space="preserve">as white men</w:t>
        </w:r>
      </w:hyperlink>
      <w:r w:rsidDel="00000000" w:rsidR="00000000" w:rsidRPr="00000000">
        <w:rPr>
          <w:rFonts w:ascii="Helvetica Neue" w:cs="Helvetica Neue" w:eastAsia="Helvetica Neue" w:hAnsi="Helvetica Neue"/>
          <w:sz w:val="24"/>
          <w:szCs w:val="24"/>
          <w:rtl w:val="0"/>
        </w:rPr>
        <w:t xml:space="preserve">, were entitled to “consent of the governed”. Consent of the governed is most often connected to voting, where citizens select public officials who are expected to make laws and other decisions based on public consent. Denying African Americans voting rights meant that African Americans could not select government officials or consent to how they were governed.  </w:t>
      </w:r>
    </w:p>
    <w:p w:rsidR="00000000" w:rsidDel="00000000" w:rsidP="00000000" w:rsidRDefault="00000000" w:rsidRPr="00000000" w14:paraId="0000003F">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Fifteenth Amendment was ratified in 1870. This amendment outlawed race discrimination in voting. However,in the aftermath of the Civil War, southern states objected to the Fifteenth Amendment. These states erected barriers to African American voting, such as with literacy and good citizenship tests that were nearly impossible to pass, and with other barriers such as closing polling places during the hours that African Americans were allowed to vote. The Voting Rights Act was passed in 1965 to address these barriers, although amendments to the act and modern Supreme Court decisions continue to respond to concerns about voting rights.  </w:t>
      </w:r>
    </w:p>
    <w:p w:rsidR="00000000" w:rsidDel="00000000" w:rsidP="00000000" w:rsidRDefault="00000000" w:rsidRPr="00000000" w14:paraId="00000040">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Civil Rights Movement demonstrated an important way that African Americans expressed their lack of consent of the government, due to ongoing discrimination that the government failed to address. First Amendment protections of free speech, free press, petitioning the government, and peaceable assembly were each utilized by African Americans, notably during the Civil Rights Movement. </w:t>
      </w:r>
    </w:p>
    <w:p w:rsidR="00000000" w:rsidDel="00000000" w:rsidP="00000000" w:rsidRDefault="00000000" w:rsidRPr="00000000" w14:paraId="00000041">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3. Extending Voting Rights</w:t>
      </w:r>
    </w:p>
    <w:p w:rsidR="00000000" w:rsidDel="00000000" w:rsidP="00000000" w:rsidRDefault="00000000" w:rsidRPr="00000000" w14:paraId="00000042">
      <w:pPr>
        <w:spacing w:line="240" w:lineRule="auto"/>
        <w:ind w:firstLine="72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Over time, the U.S. Constitution has been amended to extend voting rights to specific populations and to reduce participation barriers. This began with the 13th, 14th, and 15th Amendments, during the period known as Reconstruction following the Civil War. The </w:t>
      </w:r>
      <w:r w:rsidDel="00000000" w:rsidR="00000000" w:rsidRPr="00000000">
        <w:rPr>
          <w:rFonts w:ascii="Helvetica Neue" w:cs="Helvetica Neue" w:eastAsia="Helvetica Neue" w:hAnsi="Helvetica Neue"/>
          <w:sz w:val="24"/>
          <w:szCs w:val="24"/>
          <w:rtl w:val="0"/>
        </w:rPr>
        <w:t xml:space="preserve">13th and 14th </w:t>
      </w:r>
      <w:r w:rsidDel="00000000" w:rsidR="00000000" w:rsidRPr="00000000">
        <w:rPr>
          <w:rFonts w:ascii="Helvetica Neue" w:cs="Helvetica Neue" w:eastAsia="Helvetica Neue" w:hAnsi="Helvetica Neue"/>
          <w:sz w:val="24"/>
          <w:szCs w:val="24"/>
          <w:rtl w:val="0"/>
        </w:rPr>
        <w:t xml:space="preserve">Amendments, ending slavery and defining citizenship, were important steps toward the ratification of the 15th Amendment, which granted the right to vote to African American males. While the passage of the 15th Amendment in 1870 initially increased participation in elections and elevated African American men to political office, other limitations were put in place that impeded African American men from exercising their new rights, in the south and across the country. </w:t>
      </w:r>
    </w:p>
    <w:p w:rsidR="00000000" w:rsidDel="00000000" w:rsidP="00000000" w:rsidRDefault="00000000" w:rsidRPr="00000000" w14:paraId="00000043">
      <w:pPr>
        <w:spacing w:line="240" w:lineRule="auto"/>
        <w:ind w:firstLine="72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4">
      <w:pPr>
        <w:spacing w:line="240" w:lineRule="auto"/>
        <w:ind w:firstLine="72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Former Confederate states worked in some way to suppress or eliminate voter registration and participation among African Americans. The attempts to segregate and disenfranchise the African American population through legislation came to be known as Jim Crow laws. Poll taxes, literacy tests, vouchers of “good character” (persons already registered had to vouch for applicants that they met residency qualifications), disqualification for “crimes of moral turpitude,” and violence were commonly used ways to discourage voter participation. For example, by looking at </w:t>
      </w:r>
      <w:hyperlink r:id="rId16">
        <w:r w:rsidDel="00000000" w:rsidR="00000000" w:rsidRPr="00000000">
          <w:rPr>
            <w:rFonts w:ascii="Helvetica Neue" w:cs="Helvetica Neue" w:eastAsia="Helvetica Neue" w:hAnsi="Helvetica Neue"/>
            <w:color w:val="1155cc"/>
            <w:sz w:val="24"/>
            <w:szCs w:val="24"/>
            <w:u w:val="single"/>
            <w:rtl w:val="0"/>
          </w:rPr>
          <w:t xml:space="preserve">voter registration data</w:t>
        </w:r>
      </w:hyperlink>
      <w:r w:rsidDel="00000000" w:rsidR="00000000" w:rsidRPr="00000000">
        <w:rPr>
          <w:rFonts w:ascii="Helvetica Neue" w:cs="Helvetica Neue" w:eastAsia="Helvetica Neue" w:hAnsi="Helvetica Neue"/>
          <w:sz w:val="24"/>
          <w:szCs w:val="24"/>
          <w:rtl w:val="0"/>
        </w:rPr>
        <w:t xml:space="preserve"> for Mississippi in 1964, one can see how effective these voter suppression methods had become. In the South, African American voter registration was about one-third, while in Mississippi, it was 5.2%. In Holmes County, all but .2% (one-fifth of one percent) of African-Americans were disqualified from voting, while </w:t>
      </w:r>
      <w:r w:rsidDel="00000000" w:rsidR="00000000" w:rsidRPr="00000000">
        <w:rPr>
          <w:rFonts w:ascii="Helvetica Neue" w:cs="Helvetica Neue" w:eastAsia="Helvetica Neue" w:hAnsi="Helvetica Neue"/>
          <w:sz w:val="24"/>
          <w:szCs w:val="24"/>
          <w:rtl w:val="0"/>
        </w:rPr>
        <w:t xml:space="preserve">100%</w:t>
      </w:r>
      <w:r w:rsidDel="00000000" w:rsidR="00000000" w:rsidRPr="00000000">
        <w:rPr>
          <w:rFonts w:ascii="Helvetica Neue" w:cs="Helvetica Neue" w:eastAsia="Helvetica Neue" w:hAnsi="Helvetica Neue"/>
          <w:sz w:val="24"/>
          <w:szCs w:val="24"/>
          <w:rtl w:val="0"/>
        </w:rPr>
        <w:t xml:space="preserve"> of whites were registered in that same county. In three Mississippi counties, not a single African American voted.</w:t>
      </w:r>
    </w:p>
    <w:p w:rsidR="00000000" w:rsidDel="00000000" w:rsidP="00000000" w:rsidRDefault="00000000" w:rsidRPr="00000000" w14:paraId="00000045">
      <w:pPr>
        <w:spacing w:line="240" w:lineRule="auto"/>
        <w:ind w:firstLine="72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6">
      <w:pPr>
        <w:spacing w:line="240" w:lineRule="auto"/>
        <w:ind w:firstLine="72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Through constitutional amendments, federal laws, and U.S. Supreme Court decisions, some of which are included in the table below, things began to change.</w:t>
      </w:r>
      <w:r w:rsidDel="00000000" w:rsidR="00000000" w:rsidRPr="00000000">
        <w:rPr>
          <w:rtl w:val="0"/>
        </w:rPr>
      </w:r>
    </w:p>
    <w:p w:rsidR="00000000" w:rsidDel="00000000" w:rsidP="00000000" w:rsidRDefault="00000000" w:rsidRPr="00000000" w14:paraId="00000047">
      <w:pPr>
        <w:spacing w:line="240" w:lineRule="auto"/>
        <w:ind w:firstLine="720"/>
        <w:rPr>
          <w:rFonts w:ascii="Helvetica Neue" w:cs="Helvetica Neue" w:eastAsia="Helvetica Neue" w:hAnsi="Helvetica Neue"/>
          <w:sz w:val="24"/>
          <w:szCs w:val="24"/>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70"/>
        <w:gridCol w:w="1470"/>
        <w:gridCol w:w="6360"/>
        <w:tblGridChange w:id="0">
          <w:tblGrid>
            <w:gridCol w:w="2970"/>
            <w:gridCol w:w="1470"/>
            <w:gridCol w:w="6360"/>
          </w:tblGrid>
        </w:tblGridChange>
      </w:tblGrid>
      <w:tr>
        <w:trPr>
          <w:cantSplit w:val="0"/>
          <w:tblHeader w:val="0"/>
        </w:trPr>
        <w:tc>
          <w:tcPr>
            <w:shd w:fill="auto" w:val="clear"/>
          </w:tcPr>
          <w:p w:rsidR="00000000" w:rsidDel="00000000" w:rsidP="00000000" w:rsidRDefault="00000000" w:rsidRPr="00000000" w14:paraId="00000048">
            <w:pPr>
              <w:spacing w:line="240" w:lineRule="auto"/>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Event</w:t>
            </w:r>
          </w:p>
        </w:tc>
        <w:tc>
          <w:tcPr>
            <w:shd w:fill="auto" w:val="clear"/>
          </w:tcPr>
          <w:p w:rsidR="00000000" w:rsidDel="00000000" w:rsidP="00000000" w:rsidRDefault="00000000" w:rsidRPr="00000000" w14:paraId="00000049">
            <w:pPr>
              <w:spacing w:line="240" w:lineRule="auto"/>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Date</w:t>
            </w:r>
          </w:p>
        </w:tc>
        <w:tc>
          <w:tcPr>
            <w:shd w:fill="auto" w:val="clear"/>
          </w:tcPr>
          <w:p w:rsidR="00000000" w:rsidDel="00000000" w:rsidP="00000000" w:rsidRDefault="00000000" w:rsidRPr="00000000" w14:paraId="0000004A">
            <w:pPr>
              <w:spacing w:line="240" w:lineRule="auto"/>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Description</w:t>
            </w:r>
          </w:p>
        </w:tc>
      </w:tr>
      <w:tr>
        <w:trPr>
          <w:cantSplit w:val="0"/>
          <w:tblHeader w:val="0"/>
        </w:trPr>
        <w:tc>
          <w:tcPr>
            <w:shd w:fill="auto" w:val="clear"/>
          </w:tcPr>
          <w:p w:rsidR="00000000" w:rsidDel="00000000" w:rsidP="00000000" w:rsidRDefault="00000000" w:rsidRPr="00000000" w14:paraId="0000004B">
            <w:pPr>
              <w:spacing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i w:val="1"/>
                <w:sz w:val="24"/>
                <w:szCs w:val="24"/>
                <w:rtl w:val="0"/>
              </w:rPr>
              <w:t xml:space="preserve">Guinn v. United States</w:t>
            </w:r>
            <w:r w:rsidDel="00000000" w:rsidR="00000000" w:rsidRPr="00000000">
              <w:rPr>
                <w:rFonts w:ascii="Helvetica Neue" w:cs="Helvetica Neue" w:eastAsia="Helvetica Neue" w:hAnsi="Helvetica Neue"/>
                <w:b w:val="1"/>
                <w:sz w:val="24"/>
                <w:szCs w:val="24"/>
                <w:rtl w:val="0"/>
              </w:rPr>
              <w:t xml:space="preserve">, 238 U.S. 347</w:t>
            </w:r>
          </w:p>
        </w:tc>
        <w:tc>
          <w:tcPr>
            <w:shd w:fill="auto" w:val="clear"/>
          </w:tcPr>
          <w:p w:rsidR="00000000" w:rsidDel="00000000" w:rsidP="00000000" w:rsidRDefault="00000000" w:rsidRPr="00000000" w14:paraId="0000004C">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1915</w:t>
            </w:r>
          </w:p>
          <w:p w:rsidR="00000000" w:rsidDel="00000000" w:rsidP="00000000" w:rsidRDefault="00000000" w:rsidRPr="00000000" w14:paraId="0000004D">
            <w:pPr>
              <w:spacing w:line="240" w:lineRule="auto"/>
              <w:rPr>
                <w:rFonts w:ascii="Helvetica Neue" w:cs="Helvetica Neue" w:eastAsia="Helvetica Neue" w:hAnsi="Helvetica Neue"/>
                <w:sz w:val="24"/>
                <w:szCs w:val="24"/>
              </w:rPr>
            </w:pPr>
            <w:r w:rsidDel="00000000" w:rsidR="00000000" w:rsidRPr="00000000">
              <w:rPr>
                <w:rtl w:val="0"/>
              </w:rPr>
            </w:r>
          </w:p>
        </w:tc>
        <w:tc>
          <w:tcPr>
            <w:shd w:fill="auto" w:val="clear"/>
          </w:tcPr>
          <w:p w:rsidR="00000000" w:rsidDel="00000000" w:rsidP="00000000" w:rsidRDefault="00000000" w:rsidRPr="00000000" w14:paraId="0000004E">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U.S.</w:t>
            </w:r>
            <w:r w:rsidDel="00000000" w:rsidR="00000000" w:rsidRPr="00000000">
              <w:rPr>
                <w:rFonts w:ascii="Helvetica Neue" w:cs="Helvetica Neue" w:eastAsia="Helvetica Neue" w:hAnsi="Helvetica Neue"/>
                <w:sz w:val="24"/>
                <w:szCs w:val="24"/>
                <w:rtl w:val="0"/>
              </w:rPr>
              <w:t xml:space="preserve"> Supreme Court held that voter registration requirements that included “grandfather clauses” violated the 15</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Amendment. Grandfather clauses extended voter registration to those descended from men with the right to vote before the 15</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Amendment was ratified in 1870.  </w:t>
            </w:r>
          </w:p>
        </w:tc>
      </w:tr>
      <w:tr>
        <w:trPr>
          <w:cantSplit w:val="0"/>
          <w:tblHeader w:val="0"/>
        </w:trPr>
        <w:tc>
          <w:tcPr>
            <w:shd w:fill="auto" w:val="clear"/>
          </w:tcPr>
          <w:p w:rsidR="00000000" w:rsidDel="00000000" w:rsidP="00000000" w:rsidRDefault="00000000" w:rsidRPr="00000000" w14:paraId="0000004F">
            <w:pPr>
              <w:spacing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i w:val="1"/>
                <w:sz w:val="24"/>
                <w:szCs w:val="24"/>
                <w:rtl w:val="0"/>
              </w:rPr>
              <w:t xml:space="preserve">Smith v. Allwright</w:t>
            </w:r>
            <w:r w:rsidDel="00000000" w:rsidR="00000000" w:rsidRPr="00000000">
              <w:rPr>
                <w:rFonts w:ascii="Helvetica Neue" w:cs="Helvetica Neue" w:eastAsia="Helvetica Neue" w:hAnsi="Helvetica Neue"/>
                <w:b w:val="1"/>
                <w:sz w:val="24"/>
                <w:szCs w:val="24"/>
                <w:rtl w:val="0"/>
              </w:rPr>
              <w:t xml:space="preserve">, 321 U.S. 649</w:t>
            </w:r>
          </w:p>
        </w:tc>
        <w:tc>
          <w:tcPr>
            <w:shd w:fill="auto" w:val="clear"/>
          </w:tcPr>
          <w:p w:rsidR="00000000" w:rsidDel="00000000" w:rsidP="00000000" w:rsidRDefault="00000000" w:rsidRPr="00000000" w14:paraId="00000050">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1944</w:t>
            </w:r>
          </w:p>
        </w:tc>
        <w:tc>
          <w:tcPr>
            <w:shd w:fill="auto" w:val="clear"/>
          </w:tcPr>
          <w:p w:rsidR="00000000" w:rsidDel="00000000" w:rsidP="00000000" w:rsidRDefault="00000000" w:rsidRPr="00000000" w14:paraId="00000051">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U.S. Supreme Court held that Texas white primaries violated the 15</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Amendment. The Texas Democratic party prohibited African Americans from voting in their primaries; as few, if any, Republicans ran for office, the winner of the Democratic primary won the general election by default.  </w:t>
            </w:r>
          </w:p>
        </w:tc>
      </w:tr>
      <w:tr>
        <w:trPr>
          <w:cantSplit w:val="0"/>
          <w:tblHeader w:val="0"/>
        </w:trPr>
        <w:tc>
          <w:tcPr>
            <w:shd w:fill="auto" w:val="clear"/>
          </w:tcPr>
          <w:p w:rsidR="00000000" w:rsidDel="00000000" w:rsidP="00000000" w:rsidRDefault="00000000" w:rsidRPr="00000000" w14:paraId="00000052">
            <w:pPr>
              <w:spacing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Civil Rights Act of 1957</w:t>
            </w:r>
          </w:p>
        </w:tc>
        <w:tc>
          <w:tcPr>
            <w:shd w:fill="auto" w:val="clear"/>
          </w:tcPr>
          <w:p w:rsidR="00000000" w:rsidDel="00000000" w:rsidP="00000000" w:rsidRDefault="00000000" w:rsidRPr="00000000" w14:paraId="00000053">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1957</w:t>
            </w:r>
          </w:p>
        </w:tc>
        <w:tc>
          <w:tcPr>
            <w:shd w:fill="auto" w:val="clear"/>
          </w:tcPr>
          <w:p w:rsidR="00000000" w:rsidDel="00000000" w:rsidP="00000000" w:rsidRDefault="00000000" w:rsidRPr="00000000" w14:paraId="00000054">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Created the Civil Rights Division within the U.S. Department of Justice and the Commission on Civil Rights. The Attorney General was granted authority to intervene for those whose 15</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Amendment rights had been violated.</w:t>
            </w:r>
          </w:p>
        </w:tc>
      </w:tr>
      <w:tr>
        <w:trPr>
          <w:cantSplit w:val="0"/>
          <w:tblHeader w:val="0"/>
        </w:trPr>
        <w:tc>
          <w:tcPr>
            <w:shd w:fill="auto" w:val="clear"/>
          </w:tcPr>
          <w:p w:rsidR="00000000" w:rsidDel="00000000" w:rsidP="00000000" w:rsidRDefault="00000000" w:rsidRPr="00000000" w14:paraId="00000055">
            <w:pPr>
              <w:spacing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Civil Rights Act of 1960</w:t>
            </w:r>
          </w:p>
        </w:tc>
        <w:tc>
          <w:tcPr>
            <w:shd w:fill="auto" w:val="clear"/>
          </w:tcPr>
          <w:p w:rsidR="00000000" w:rsidDel="00000000" w:rsidP="00000000" w:rsidRDefault="00000000" w:rsidRPr="00000000" w14:paraId="0000005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1960</w:t>
            </w:r>
          </w:p>
        </w:tc>
        <w:tc>
          <w:tcPr>
            <w:shd w:fill="auto" w:val="clear"/>
          </w:tcPr>
          <w:p w:rsidR="00000000" w:rsidDel="00000000" w:rsidP="00000000" w:rsidRDefault="00000000" w:rsidRPr="00000000" w14:paraId="00000057">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Allowed federal courts to appoint voting referees to conduct voter registration.</w:t>
            </w:r>
          </w:p>
        </w:tc>
      </w:tr>
      <w:tr>
        <w:trPr>
          <w:cantSplit w:val="0"/>
          <w:tblHeader w:val="0"/>
        </w:trPr>
        <w:tc>
          <w:tcPr>
            <w:shd w:fill="auto" w:val="clear"/>
          </w:tcPr>
          <w:p w:rsidR="00000000" w:rsidDel="00000000" w:rsidP="00000000" w:rsidRDefault="00000000" w:rsidRPr="00000000" w14:paraId="00000058">
            <w:pPr>
              <w:spacing w:line="240" w:lineRule="auto"/>
              <w:rPr>
                <w:rFonts w:ascii="Helvetica Neue" w:cs="Helvetica Neue" w:eastAsia="Helvetica Neue" w:hAnsi="Helvetica Neue"/>
                <w:b w:val="1"/>
                <w:i w:val="1"/>
                <w:sz w:val="24"/>
                <w:szCs w:val="24"/>
              </w:rPr>
            </w:pPr>
            <w:r w:rsidDel="00000000" w:rsidR="00000000" w:rsidRPr="00000000">
              <w:rPr>
                <w:rFonts w:ascii="Helvetica Neue" w:cs="Helvetica Neue" w:eastAsia="Helvetica Neue" w:hAnsi="Helvetica Neue"/>
                <w:b w:val="1"/>
                <w:i w:val="1"/>
                <w:sz w:val="24"/>
                <w:szCs w:val="24"/>
                <w:rtl w:val="0"/>
              </w:rPr>
              <w:t xml:space="preserve">Gomillion v. Lightfoot, 364 U.S. 339</w:t>
            </w:r>
          </w:p>
        </w:tc>
        <w:tc>
          <w:tcPr>
            <w:shd w:fill="auto" w:val="clear"/>
          </w:tcPr>
          <w:p w:rsidR="00000000" w:rsidDel="00000000" w:rsidP="00000000" w:rsidRDefault="00000000" w:rsidRPr="00000000" w14:paraId="00000059">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1960</w:t>
            </w:r>
          </w:p>
          <w:p w:rsidR="00000000" w:rsidDel="00000000" w:rsidP="00000000" w:rsidRDefault="00000000" w:rsidRPr="00000000" w14:paraId="0000005A">
            <w:pPr>
              <w:spacing w:line="240" w:lineRule="auto"/>
              <w:rPr>
                <w:rFonts w:ascii="Helvetica Neue" w:cs="Helvetica Neue" w:eastAsia="Helvetica Neue" w:hAnsi="Helvetica Neue"/>
                <w:sz w:val="24"/>
                <w:szCs w:val="24"/>
              </w:rPr>
            </w:pPr>
            <w:r w:rsidDel="00000000" w:rsidR="00000000" w:rsidRPr="00000000">
              <w:rPr>
                <w:rtl w:val="0"/>
              </w:rPr>
            </w:r>
          </w:p>
        </w:tc>
        <w:tc>
          <w:tcPr>
            <w:shd w:fill="auto" w:val="clear"/>
          </w:tcPr>
          <w:p w:rsidR="00000000" w:rsidDel="00000000" w:rsidP="00000000" w:rsidRDefault="00000000" w:rsidRPr="00000000" w14:paraId="0000005B">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U.S. </w:t>
            </w:r>
            <w:r w:rsidDel="00000000" w:rsidR="00000000" w:rsidRPr="00000000">
              <w:rPr>
                <w:rFonts w:ascii="Helvetica Neue" w:cs="Helvetica Neue" w:eastAsia="Helvetica Neue" w:hAnsi="Helvetica Neue"/>
                <w:sz w:val="24"/>
                <w:szCs w:val="24"/>
                <w:rtl w:val="0"/>
              </w:rPr>
              <w:t xml:space="preserve">Supreme</w:t>
            </w:r>
            <w:r w:rsidDel="00000000" w:rsidR="00000000" w:rsidRPr="00000000">
              <w:rPr>
                <w:rFonts w:ascii="Helvetica Neue" w:cs="Helvetica Neue" w:eastAsia="Helvetica Neue" w:hAnsi="Helvetica Neue"/>
                <w:sz w:val="24"/>
                <w:szCs w:val="24"/>
                <w:rtl w:val="0"/>
              </w:rPr>
              <w:t xml:space="preserve"> Court held that the state legislature’s gerrymandered boundaries of Tuskegee, Alabama, violated the 15</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Amendment.</w:t>
            </w:r>
          </w:p>
        </w:tc>
      </w:tr>
      <w:tr>
        <w:trPr>
          <w:cantSplit w:val="0"/>
          <w:tblHeader w:val="0"/>
        </w:trPr>
        <w:tc>
          <w:tcPr>
            <w:shd w:fill="auto" w:val="clear"/>
          </w:tcPr>
          <w:p w:rsidR="00000000" w:rsidDel="00000000" w:rsidP="00000000" w:rsidRDefault="00000000" w:rsidRPr="00000000" w14:paraId="0000005C">
            <w:pPr>
              <w:spacing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24</w:t>
            </w:r>
            <w:r w:rsidDel="00000000" w:rsidR="00000000" w:rsidRPr="00000000">
              <w:rPr>
                <w:rFonts w:ascii="Helvetica Neue" w:cs="Helvetica Neue" w:eastAsia="Helvetica Neue" w:hAnsi="Helvetica Neue"/>
                <w:b w:val="1"/>
                <w:sz w:val="24"/>
                <w:szCs w:val="24"/>
                <w:vertAlign w:val="superscript"/>
                <w:rtl w:val="0"/>
              </w:rPr>
              <w:t xml:space="preserve">th</w:t>
            </w:r>
            <w:r w:rsidDel="00000000" w:rsidR="00000000" w:rsidRPr="00000000">
              <w:rPr>
                <w:rFonts w:ascii="Helvetica Neue" w:cs="Helvetica Neue" w:eastAsia="Helvetica Neue" w:hAnsi="Helvetica Neue"/>
                <w:b w:val="1"/>
                <w:sz w:val="24"/>
                <w:szCs w:val="24"/>
                <w:rtl w:val="0"/>
              </w:rPr>
              <w:t xml:space="preserve"> Amendment</w:t>
            </w:r>
          </w:p>
        </w:tc>
        <w:tc>
          <w:tcPr>
            <w:shd w:fill="auto" w:val="clear"/>
          </w:tcPr>
          <w:p w:rsidR="00000000" w:rsidDel="00000000" w:rsidP="00000000" w:rsidRDefault="00000000" w:rsidRPr="00000000" w14:paraId="0000005D">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1964</w:t>
            </w:r>
          </w:p>
        </w:tc>
        <w:tc>
          <w:tcPr>
            <w:shd w:fill="auto" w:val="clear"/>
          </w:tcPr>
          <w:p w:rsidR="00000000" w:rsidDel="00000000" w:rsidP="00000000" w:rsidRDefault="00000000" w:rsidRPr="00000000" w14:paraId="0000005E">
            <w:pPr>
              <w:spacing w:line="240" w:lineRule="auto"/>
              <w:rPr>
                <w:rFonts w:ascii="Helvetica Neue" w:cs="Helvetica Neue" w:eastAsia="Helvetica Neue" w:hAnsi="Helvetica Neue"/>
                <w:i w:val="1"/>
                <w:sz w:val="24"/>
                <w:szCs w:val="24"/>
              </w:rPr>
            </w:pPr>
            <w:r w:rsidDel="00000000" w:rsidR="00000000" w:rsidRPr="00000000">
              <w:rPr>
                <w:rFonts w:ascii="Helvetica Neue" w:cs="Helvetica Neue" w:eastAsia="Helvetica Neue" w:hAnsi="Helvetica Neue"/>
                <w:sz w:val="24"/>
                <w:szCs w:val="24"/>
                <w:rtl w:val="0"/>
              </w:rPr>
              <w:t xml:space="preserve">Text: </w:t>
            </w:r>
            <w:r w:rsidDel="00000000" w:rsidR="00000000" w:rsidRPr="00000000">
              <w:rPr>
                <w:rFonts w:ascii="Helvetica Neue" w:cs="Helvetica Neue" w:eastAsia="Helvetica Neue" w:hAnsi="Helvetica Neue"/>
                <w:i w:val="1"/>
                <w:sz w:val="24"/>
                <w:szCs w:val="24"/>
                <w:rtl w:val="0"/>
              </w:rPr>
              <w:t xml:space="preserve">The right of citizens of the United States to vote in any primary or other election for President or Vice President, for electors for President or Vice President, or for Senator or Representative in Congress, shall not be denied or abridged by the United States or any State by reason of failure to pay poll tax or other tax.</w:t>
            </w:r>
          </w:p>
        </w:tc>
      </w:tr>
      <w:tr>
        <w:trPr>
          <w:cantSplit w:val="0"/>
          <w:tblHeader w:val="0"/>
        </w:trPr>
        <w:tc>
          <w:tcPr>
            <w:shd w:fill="auto" w:val="clear"/>
          </w:tcPr>
          <w:p w:rsidR="00000000" w:rsidDel="00000000" w:rsidP="00000000" w:rsidRDefault="00000000" w:rsidRPr="00000000" w14:paraId="0000005F">
            <w:pPr>
              <w:spacing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Civil Rights Act of 1964</w:t>
            </w:r>
          </w:p>
        </w:tc>
        <w:tc>
          <w:tcPr>
            <w:shd w:fill="auto" w:val="clear"/>
          </w:tcPr>
          <w:p w:rsidR="00000000" w:rsidDel="00000000" w:rsidP="00000000" w:rsidRDefault="00000000" w:rsidRPr="00000000" w14:paraId="00000060">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1964</w:t>
            </w:r>
          </w:p>
        </w:tc>
        <w:tc>
          <w:tcPr>
            <w:shd w:fill="auto" w:val="clear"/>
          </w:tcPr>
          <w:p w:rsidR="00000000" w:rsidDel="00000000" w:rsidP="00000000" w:rsidRDefault="00000000" w:rsidRPr="00000000" w14:paraId="00000061">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Contained several minority voting-related provisions.</w:t>
            </w:r>
          </w:p>
        </w:tc>
      </w:tr>
      <w:tr>
        <w:trPr>
          <w:cantSplit w:val="0"/>
          <w:tblHeader w:val="0"/>
        </w:trPr>
        <w:tc>
          <w:tcPr>
            <w:shd w:fill="auto" w:val="clear"/>
          </w:tcPr>
          <w:p w:rsidR="00000000" w:rsidDel="00000000" w:rsidP="00000000" w:rsidRDefault="00000000" w:rsidRPr="00000000" w14:paraId="00000062">
            <w:pPr>
              <w:spacing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Voting Rights Act of 1965</w:t>
            </w:r>
          </w:p>
        </w:tc>
        <w:tc>
          <w:tcPr>
            <w:shd w:fill="auto" w:val="clear"/>
          </w:tcPr>
          <w:p w:rsidR="00000000" w:rsidDel="00000000" w:rsidP="00000000" w:rsidRDefault="00000000" w:rsidRPr="00000000" w14:paraId="00000063">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1965</w:t>
            </w:r>
          </w:p>
        </w:tc>
        <w:tc>
          <w:tcPr>
            <w:shd w:fill="auto" w:val="clear"/>
          </w:tcPr>
          <w:p w:rsidR="00000000" w:rsidDel="00000000" w:rsidP="00000000" w:rsidRDefault="00000000" w:rsidRPr="00000000" w14:paraId="00000064">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Outlawed discriminatory voting practices directed against African Americans.</w:t>
            </w:r>
          </w:p>
          <w:p w:rsidR="00000000" w:rsidDel="00000000" w:rsidP="00000000" w:rsidRDefault="00000000" w:rsidRPr="00000000" w14:paraId="00000065">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Prohibited states from imposing any "voting qualification or prerequisite to voting, or standard, practice, or procedure ... to deny or abridge the right of any citizen of the United States to vote on account of race or color."</w:t>
            </w:r>
          </w:p>
          <w:p w:rsidR="00000000" w:rsidDel="00000000" w:rsidP="00000000" w:rsidRDefault="00000000" w:rsidRPr="00000000" w14:paraId="00000067">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Outlawed the use of literacy tests as a condition of voter registration.</w:t>
            </w:r>
          </w:p>
          <w:p w:rsidR="00000000" w:rsidDel="00000000" w:rsidP="00000000" w:rsidRDefault="00000000" w:rsidRPr="00000000" w14:paraId="00000069">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A">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Established federal oversight of election administration.</w:t>
            </w:r>
          </w:p>
        </w:tc>
      </w:tr>
    </w:tbl>
    <w:p w:rsidR="00000000" w:rsidDel="00000000" w:rsidP="00000000" w:rsidRDefault="00000000" w:rsidRPr="00000000" w14:paraId="0000006B">
      <w:pPr>
        <w:spacing w:after="0" w:line="24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6C">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Sources:</w:t>
      </w:r>
    </w:p>
    <w:p w:rsidR="00000000" w:rsidDel="00000000" w:rsidP="00000000" w:rsidRDefault="00000000" w:rsidRPr="00000000" w14:paraId="0000006D">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Brown v. Board of Education (1954), </w:t>
      </w:r>
      <w:hyperlink r:id="rId17">
        <w:r w:rsidDel="00000000" w:rsidR="00000000" w:rsidRPr="00000000">
          <w:rPr>
            <w:rFonts w:ascii="Helvetica Neue Light" w:cs="Helvetica Neue Light" w:eastAsia="Helvetica Neue Light" w:hAnsi="Helvetica Neue Light"/>
            <w:color w:val="1155cc"/>
            <w:sz w:val="20"/>
            <w:szCs w:val="20"/>
            <w:u w:val="single"/>
            <w:rtl w:val="0"/>
          </w:rPr>
          <w:t xml:space="preserve">https://supreme.justia.com/cases/federal/us/347/483/</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6E">
      <w:pPr>
        <w:spacing w:after="0" w:line="240" w:lineRule="auto"/>
        <w:rPr>
          <w:rFonts w:ascii="Helvetica Neue Light" w:cs="Helvetica Neue Light" w:eastAsia="Helvetica Neue Light" w:hAnsi="Helvetica Neue Light"/>
          <w:color w:val="1155cc"/>
          <w:sz w:val="20"/>
          <w:szCs w:val="20"/>
        </w:rPr>
      </w:pPr>
      <w:r w:rsidDel="00000000" w:rsidR="00000000" w:rsidRPr="00000000">
        <w:rPr>
          <w:rFonts w:ascii="Helvetica Neue Light" w:cs="Helvetica Neue Light" w:eastAsia="Helvetica Neue Light" w:hAnsi="Helvetica Neue Light"/>
          <w:sz w:val="20"/>
          <w:szCs w:val="20"/>
          <w:rtl w:val="0"/>
        </w:rPr>
        <w:t xml:space="preserve">Civil Rights Act (1964), </w:t>
      </w:r>
      <w:hyperlink r:id="rId18">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https://www.archives.gov/milestone-documents/civil-rights-ac</w:t>
        </w:r>
      </w:hyperlink>
      <w:r w:rsidDel="00000000" w:rsidR="00000000" w:rsidRPr="00000000">
        <w:rPr>
          <w:rFonts w:ascii="Helvetica Neue Light" w:cs="Helvetica Neue Light" w:eastAsia="Helvetica Neue Light" w:hAnsi="Helvetica Neue Light"/>
          <w:color w:val="1155cc"/>
          <w:sz w:val="20"/>
          <w:szCs w:val="20"/>
          <w:rtl w:val="0"/>
        </w:rPr>
        <w:t xml:space="preserve">t </w:t>
      </w:r>
      <w:r w:rsidDel="00000000" w:rsidR="00000000" w:rsidRPr="00000000">
        <w:rPr>
          <w:rtl w:val="0"/>
        </w:rPr>
      </w:r>
    </w:p>
    <w:p w:rsidR="00000000" w:rsidDel="00000000" w:rsidP="00000000" w:rsidRDefault="00000000" w:rsidRPr="00000000" w14:paraId="0000006F">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Dred Scott v. Sandford (1856), </w:t>
      </w:r>
      <w:hyperlink r:id="rId19">
        <w:r w:rsidDel="00000000" w:rsidR="00000000" w:rsidRPr="00000000">
          <w:rPr>
            <w:rFonts w:ascii="Helvetica Neue Light" w:cs="Helvetica Neue Light" w:eastAsia="Helvetica Neue Light" w:hAnsi="Helvetica Neue Light"/>
            <w:color w:val="1155cc"/>
            <w:sz w:val="20"/>
            <w:szCs w:val="20"/>
            <w:u w:val="single"/>
            <w:rtl w:val="0"/>
          </w:rPr>
          <w:t xml:space="preserve">https://supreme.justia.com/cases/federal/us/60/393/</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70">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First Amendment (1791), </w:t>
      </w:r>
      <w:hyperlink r:id="rId20">
        <w:r w:rsidDel="00000000" w:rsidR="00000000" w:rsidRPr="00000000">
          <w:rPr>
            <w:rFonts w:ascii="Helvetica Neue Light" w:cs="Helvetica Neue Light" w:eastAsia="Helvetica Neue Light" w:hAnsi="Helvetica Neue Light"/>
            <w:color w:val="1155cc"/>
            <w:sz w:val="20"/>
            <w:szCs w:val="20"/>
            <w:u w:val="single"/>
            <w:rtl w:val="0"/>
          </w:rPr>
          <w:t xml:space="preserve">https://www.law.cornell.edu/constitution/first_amendment</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71">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Fifteenth Amendment (1870), </w:t>
      </w:r>
      <w:hyperlink r:id="rId21">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https://www.archives.gov/milestone-documents/15th-amendment</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72">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Fourteenth Amendment (1868), </w:t>
      </w:r>
      <w:hyperlink r:id="rId22">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https://www.archives.gov/milestone-documents/14th-amendment</w:t>
        </w:r>
      </w:hyperlink>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tl w:val="0"/>
        </w:rPr>
      </w:r>
    </w:p>
    <w:p w:rsidR="00000000" w:rsidDel="00000000" w:rsidP="00000000" w:rsidRDefault="00000000" w:rsidRPr="00000000" w14:paraId="00000073">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Plessy v. Ferguson (1896), </w:t>
      </w:r>
      <w:hyperlink r:id="rId23">
        <w:r w:rsidDel="00000000" w:rsidR="00000000" w:rsidRPr="00000000">
          <w:rPr>
            <w:rFonts w:ascii="Helvetica Neue Light" w:cs="Helvetica Neue Light" w:eastAsia="Helvetica Neue Light" w:hAnsi="Helvetica Neue Light"/>
            <w:color w:val="1155cc"/>
            <w:sz w:val="20"/>
            <w:szCs w:val="20"/>
            <w:u w:val="single"/>
            <w:rtl w:val="0"/>
          </w:rPr>
          <w:t xml:space="preserve">https://supreme.justia.com/cases/federal/us/163/537/</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74">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Thirteenth Amendment (1865), </w:t>
      </w:r>
      <w:hyperlink r:id="rId24">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https://www.archives.gov/milestone-documents/13th-amendment</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75">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p>
    <w:p w:rsidR="00000000" w:rsidDel="00000000" w:rsidP="00000000" w:rsidRDefault="00000000" w:rsidRPr="00000000" w14:paraId="00000076">
      <w:pPr>
        <w:spacing w:after="0" w:line="240" w:lineRule="auto"/>
        <w:rPr>
          <w:rFonts w:ascii="Helvetica Neue" w:cs="Helvetica Neue" w:eastAsia="Helvetica Neue" w:hAnsi="Helvetica Neue"/>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2"/>
        <w:spacing w:after="0" w:line="240" w:lineRule="auto"/>
        <w:jc w:val="center"/>
        <w:rPr>
          <w:rFonts w:ascii="Helvetica Neue" w:cs="Helvetica Neue" w:eastAsia="Helvetica Neue" w:hAnsi="Helvetica Neue"/>
          <w:b w:val="1"/>
          <w:color w:val="1c2f4f"/>
        </w:rPr>
      </w:pPr>
      <w:bookmarkStart w:colFirst="0" w:colLast="0" w:name="_j7x99u30yl3c" w:id="2"/>
      <w:bookmarkEnd w:id="2"/>
      <w:r w:rsidDel="00000000" w:rsidR="00000000" w:rsidRPr="00000000">
        <w:rPr>
          <w:rFonts w:ascii="Helvetica Neue" w:cs="Helvetica Neue" w:eastAsia="Helvetica Neue" w:hAnsi="Helvetica Neue"/>
          <w:b w:val="1"/>
          <w:color w:val="1c2f4f"/>
          <w:rtl w:val="0"/>
        </w:rPr>
        <w:t xml:space="preserve">ACTIVITY SEQUENCE</w:t>
      </w: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Provide students with the</w:t>
            </w:r>
            <w:r w:rsidDel="00000000" w:rsidR="00000000" w:rsidRPr="00000000">
              <w:rPr>
                <w:rFonts w:ascii="Helvetica Neue" w:cs="Helvetica Neue" w:eastAsia="Helvetica Neue" w:hAnsi="Helvetica Neue"/>
                <w:color w:val="ea222d"/>
                <w:sz w:val="24"/>
                <w:szCs w:val="24"/>
                <w:rtl w:val="0"/>
              </w:rPr>
              <w:t xml:space="preserve"> </w:t>
            </w:r>
            <w:hyperlink r:id="rId25">
              <w:r w:rsidDel="00000000" w:rsidR="00000000" w:rsidRPr="00000000">
                <w:rPr>
                  <w:rFonts w:ascii="Helvetica Neue" w:cs="Helvetica Neue" w:eastAsia="Helvetica Neue" w:hAnsi="Helvetica Neue"/>
                  <w:color w:val="ea222d"/>
                  <w:sz w:val="24"/>
                  <w:szCs w:val="24"/>
                  <w:u w:val="single"/>
                  <w:rtl w:val="0"/>
                </w:rPr>
                <w:t xml:space="preserve">Sample Literacy Test Questions</w:t>
              </w:r>
            </w:hyperlink>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7B">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Have students attempt to answer the questions on their own.</w:t>
            </w:r>
          </w:p>
          <w:p w:rsidR="00000000" w:rsidDel="00000000" w:rsidP="00000000" w:rsidRDefault="00000000" w:rsidRPr="00000000" w14:paraId="0000007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Review the answers to the questions and allow students to grade their own work. Engage the whole class in a discussion about how they would feel if missing some of these questions resulted in them not being able to vote in U.S. elections.</w:t>
            </w:r>
          </w:p>
          <w:p w:rsidR="00000000" w:rsidDel="00000000" w:rsidP="00000000" w:rsidRDefault="00000000" w:rsidRPr="00000000" w14:paraId="0000007D">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While the sample above pulls the first 5 questions from the literacy test, you could expand or choose different questions from the 68 provided. You could also point out to students that some answers may be open to subjective grading.</w:t>
            </w:r>
          </w:p>
          <w:p w:rsidR="00000000" w:rsidDel="00000000" w:rsidP="00000000" w:rsidRDefault="00000000" w:rsidRPr="00000000" w14:paraId="0000007E">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Inform students that they are going to learn a little more about these historical barriers to voting by taking a short virtual trip using the </w:t>
            </w:r>
            <w:hyperlink r:id="rId26">
              <w:r w:rsidDel="00000000" w:rsidR="00000000" w:rsidRPr="00000000">
                <w:rPr>
                  <w:rFonts w:ascii="Helvetica Neue" w:cs="Helvetica Neue" w:eastAsia="Helvetica Neue" w:hAnsi="Helvetica Neue"/>
                  <w:color w:val="ff0000"/>
                  <w:sz w:val="24"/>
                  <w:szCs w:val="24"/>
                  <w:u w:val="single"/>
                  <w:rtl w:val="0"/>
                </w:rPr>
                <w:t xml:space="preserve">Poll Taxes and Literacy Tests in Selma, AL Video</w:t>
              </w:r>
            </w:hyperlink>
            <w:r w:rsidDel="00000000" w:rsidR="00000000" w:rsidRPr="00000000">
              <w:rPr>
                <w:rFonts w:ascii="Helvetica Neue" w:cs="Helvetica Neue" w:eastAsia="Helvetica Neue" w:hAnsi="Helvetica Neue"/>
                <w:sz w:val="24"/>
                <w:szCs w:val="24"/>
                <w:rtl w:val="0"/>
              </w:rPr>
              <w:t xml:space="preserve"> from C-SPAN.</w:t>
            </w:r>
          </w:p>
          <w:p w:rsidR="00000000" w:rsidDel="00000000" w:rsidP="00000000" w:rsidRDefault="00000000" w:rsidRPr="00000000" w14:paraId="0000007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Have a quick discussion about some of the things they saw throughout the video.</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82">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This is an opportunity to drum up excitement as we lead up to the 250th celebration and draw our focus to a time when individuals were fighting for those promises outlined. Because February is Black History Month, the focus for this month will be on African Americans.</w:t>
            </w:r>
          </w:p>
          <w:p w:rsidR="00000000" w:rsidDel="00000000" w:rsidP="00000000" w:rsidRDefault="00000000" w:rsidRPr="00000000" w14:paraId="00000083">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Use the</w:t>
            </w:r>
            <w:r w:rsidDel="00000000" w:rsidR="00000000" w:rsidRPr="00000000">
              <w:rPr>
                <w:rFonts w:ascii="Helvetica Neue" w:cs="Helvetica Neue" w:eastAsia="Helvetica Neue" w:hAnsi="Helvetica Neue"/>
                <w:color w:val="ff0000"/>
                <w:sz w:val="24"/>
                <w:szCs w:val="24"/>
                <w:rtl w:val="0"/>
              </w:rPr>
              <w:t xml:space="preserve"> </w:t>
            </w:r>
            <w:hyperlink r:id="rId27">
              <w:r w:rsidDel="00000000" w:rsidR="00000000" w:rsidRPr="00000000">
                <w:rPr>
                  <w:rFonts w:ascii="Helvetica Neue" w:cs="Helvetica Neue" w:eastAsia="Helvetica Neue" w:hAnsi="Helvetica Neue"/>
                  <w:color w:val="ff0000"/>
                  <w:sz w:val="24"/>
                  <w:szCs w:val="24"/>
                  <w:u w:val="single"/>
                  <w:rtl w:val="0"/>
                </w:rPr>
                <w:t xml:space="preserve">Primary Source Digital Unwrapping Slides</w:t>
              </w:r>
            </w:hyperlink>
            <w:r w:rsidDel="00000000" w:rsidR="00000000" w:rsidRPr="00000000">
              <w:rPr>
                <w:rFonts w:ascii="Helvetica Neue" w:cs="Helvetica Neue" w:eastAsia="Helvetica Neue" w:hAnsi="Helvetica Neue"/>
                <w:sz w:val="24"/>
                <w:szCs w:val="24"/>
                <w:rtl w:val="0"/>
              </w:rPr>
              <w:t xml:space="preserve"> and reveal the primary source inside.</w:t>
            </w:r>
          </w:p>
          <w:p w:rsidR="00000000" w:rsidDel="00000000" w:rsidP="00000000" w:rsidRDefault="00000000" w:rsidRPr="00000000" w14:paraId="0000008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Examine the document together and ask students if anyone can identify it.</w:t>
            </w:r>
          </w:p>
          <w:p w:rsidR="00000000" w:rsidDel="00000000" w:rsidP="00000000" w:rsidRDefault="00000000" w:rsidRPr="00000000" w14:paraId="00000085">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primary source document is the Voting Rights Act of 1965. Use the link provided in the Speaker Notes of the slide to go directly to the source on the National Archives website, where you can find examination tools like a magnifier and a typed transcription.</w:t>
            </w:r>
          </w:p>
          <w:p w:rsidR="00000000" w:rsidDel="00000000" w:rsidP="00000000" w:rsidRDefault="00000000" w:rsidRPr="00000000" w14:paraId="0000008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Together as a whole class, analyze the document by answering the following questions:</w:t>
            </w:r>
            <w:r w:rsidDel="00000000" w:rsidR="00000000" w:rsidRPr="00000000">
              <w:rPr>
                <w:rtl w:val="0"/>
              </w:rPr>
            </w:r>
          </w:p>
          <w:p w:rsidR="00000000" w:rsidDel="00000000" w:rsidP="00000000" w:rsidRDefault="00000000" w:rsidRPr="00000000" w14:paraId="00000087">
            <w:pPr>
              <w:numPr>
                <w:ilvl w:val="1"/>
                <w:numId w:val="1"/>
              </w:numPr>
              <w:spacing w:line="240" w:lineRule="auto"/>
              <w:ind w:left="216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type of document is it?</w:t>
            </w:r>
            <w:r w:rsidDel="00000000" w:rsidR="00000000" w:rsidRPr="00000000">
              <w:rPr>
                <w:rtl w:val="0"/>
              </w:rPr>
            </w:r>
          </w:p>
          <w:p w:rsidR="00000000" w:rsidDel="00000000" w:rsidP="00000000" w:rsidRDefault="00000000" w:rsidRPr="00000000" w14:paraId="00000088">
            <w:pPr>
              <w:numPr>
                <w:ilvl w:val="1"/>
                <w:numId w:val="1"/>
              </w:numPr>
              <w:spacing w:line="240" w:lineRule="auto"/>
              <w:ind w:left="216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When is the document from?</w:t>
            </w:r>
            <w:r w:rsidDel="00000000" w:rsidR="00000000" w:rsidRPr="00000000">
              <w:rPr>
                <w:rtl w:val="0"/>
              </w:rPr>
            </w:r>
          </w:p>
          <w:p w:rsidR="00000000" w:rsidDel="00000000" w:rsidP="00000000" w:rsidRDefault="00000000" w:rsidRPr="00000000" w14:paraId="00000089">
            <w:pPr>
              <w:numPr>
                <w:ilvl w:val="1"/>
                <w:numId w:val="1"/>
              </w:numPr>
              <w:spacing w:line="240" w:lineRule="auto"/>
              <w:ind w:left="216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is the document’s </w:t>
            </w:r>
            <w:r w:rsidDel="00000000" w:rsidR="00000000" w:rsidRPr="00000000">
              <w:rPr>
                <w:rFonts w:ascii="Helvetica Neue" w:cs="Helvetica Neue" w:eastAsia="Helvetica Neue" w:hAnsi="Helvetica Neue"/>
                <w:sz w:val="24"/>
                <w:szCs w:val="24"/>
                <w:rtl w:val="0"/>
              </w:rPr>
              <w:t xml:space="preserve">central idea?</w:t>
            </w:r>
          </w:p>
          <w:p w:rsidR="00000000" w:rsidDel="00000000" w:rsidP="00000000" w:rsidRDefault="00000000" w:rsidRPr="00000000" w14:paraId="0000008A">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See the Teacher Background Information section above and the Speaker Notes of the slides to help guide class discussion.</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Project or provide students with the </w:t>
            </w:r>
            <w:hyperlink r:id="rId28">
              <w:r w:rsidDel="00000000" w:rsidR="00000000" w:rsidRPr="00000000">
                <w:rPr>
                  <w:rFonts w:ascii="Helvetica Neue" w:cs="Helvetica Neue" w:eastAsia="Helvetica Neue" w:hAnsi="Helvetica Neue"/>
                  <w:color w:val="ff0000"/>
                  <w:sz w:val="24"/>
                  <w:szCs w:val="24"/>
                  <w:u w:val="single"/>
                  <w:rtl w:val="0"/>
                </w:rPr>
                <w:t xml:space="preserve">Promises of the Declaration</w:t>
              </w:r>
            </w:hyperlink>
            <w:hyperlink r:id="rId29">
              <w:r w:rsidDel="00000000" w:rsidR="00000000" w:rsidRPr="00000000">
                <w:rPr>
                  <w:rFonts w:ascii="Helvetica Neue" w:cs="Helvetica Neue" w:eastAsia="Helvetica Neue" w:hAnsi="Helvetica Neue"/>
                  <w:color w:val="ff0000"/>
                  <w:sz w:val="24"/>
                  <w:szCs w:val="24"/>
                  <w:u w:val="single"/>
                  <w:rtl w:val="0"/>
                </w:rPr>
                <w:t xml:space="preserve"> Handout</w:t>
              </w:r>
            </w:hyperlink>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8D">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students to connect the central idea of the Voting Rights Act of 1965 to the promises of the Declaration. Which promise(s) was this legislation inspired by and/or attempting to fulfill? Why had that promise not been achieved yet for African Americans?</w:t>
            </w:r>
          </w:p>
          <w:p w:rsidR="00000000" w:rsidDel="00000000" w:rsidP="00000000" w:rsidRDefault="00000000" w:rsidRPr="00000000" w14:paraId="0000008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throughout history, as “We the People” work to stay true to those promises, not everyone agrees on how that should look.</w:t>
            </w:r>
          </w:p>
          <w:p w:rsidR="00000000" w:rsidDel="00000000" w:rsidP="00000000" w:rsidRDefault="00000000" w:rsidRPr="00000000" w14:paraId="0000008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Assign half of the students one reading, and the other half of the students the second reading. </w:t>
            </w:r>
          </w:p>
          <w:p w:rsidR="00000000" w:rsidDel="00000000" w:rsidP="00000000" w:rsidRDefault="00000000" w:rsidRPr="00000000" w14:paraId="00000090">
            <w:pPr>
              <w:numPr>
                <w:ilvl w:val="1"/>
                <w:numId w:val="1"/>
              </w:numPr>
              <w:spacing w:line="240" w:lineRule="auto"/>
              <w:ind w:left="2160" w:hanging="360"/>
              <w:rPr>
                <w:rFonts w:ascii="Helvetica Neue" w:cs="Helvetica Neue" w:eastAsia="Helvetica Neue" w:hAnsi="Helvetica Neue"/>
                <w:sz w:val="24"/>
                <w:szCs w:val="24"/>
                <w:u w:val="none"/>
              </w:rPr>
            </w:pPr>
            <w:hyperlink r:id="rId30">
              <w:r w:rsidDel="00000000" w:rsidR="00000000" w:rsidRPr="00000000">
                <w:rPr>
                  <w:rFonts w:ascii="Helvetica Neue" w:cs="Helvetica Neue" w:eastAsia="Helvetica Neue" w:hAnsi="Helvetica Neue"/>
                  <w:color w:val="ea222d"/>
                  <w:sz w:val="24"/>
                  <w:szCs w:val="24"/>
                  <w:u w:val="single"/>
                  <w:rtl w:val="0"/>
                </w:rPr>
                <w:t xml:space="preserve">Letters Opposing the Voting Rights Act of 1965</w:t>
              </w:r>
            </w:hyperlink>
            <w:r w:rsidDel="00000000" w:rsidR="00000000" w:rsidRPr="00000000">
              <w:rPr>
                <w:rtl w:val="0"/>
              </w:rPr>
            </w:r>
          </w:p>
          <w:p w:rsidR="00000000" w:rsidDel="00000000" w:rsidP="00000000" w:rsidRDefault="00000000" w:rsidRPr="00000000" w14:paraId="00000091">
            <w:pPr>
              <w:numPr>
                <w:ilvl w:val="1"/>
                <w:numId w:val="1"/>
              </w:numPr>
              <w:spacing w:line="240" w:lineRule="auto"/>
              <w:ind w:left="2160" w:hanging="360"/>
              <w:rPr>
                <w:rFonts w:ascii="Helvetica Neue" w:cs="Helvetica Neue" w:eastAsia="Helvetica Neue" w:hAnsi="Helvetica Neue"/>
                <w:sz w:val="24"/>
                <w:szCs w:val="24"/>
                <w:u w:val="none"/>
              </w:rPr>
            </w:pPr>
            <w:hyperlink r:id="rId31">
              <w:r w:rsidDel="00000000" w:rsidR="00000000" w:rsidRPr="00000000">
                <w:rPr>
                  <w:rFonts w:ascii="Helvetica Neue" w:cs="Helvetica Neue" w:eastAsia="Helvetica Neue" w:hAnsi="Helvetica Neue"/>
                  <w:color w:val="ea222d"/>
                  <w:sz w:val="24"/>
                  <w:szCs w:val="24"/>
                  <w:u w:val="single"/>
                  <w:rtl w:val="0"/>
                </w:rPr>
                <w:t xml:space="preserve">Letters Supporting the Voting Rights Act of 1965</w:t>
              </w:r>
            </w:hyperlink>
            <w:r w:rsidDel="00000000" w:rsidR="00000000" w:rsidRPr="00000000">
              <w:rPr>
                <w:rtl w:val="0"/>
              </w:rPr>
            </w:r>
          </w:p>
          <w:p w:rsidR="00000000" w:rsidDel="00000000" w:rsidP="00000000" w:rsidRDefault="00000000" w:rsidRPr="00000000" w14:paraId="0000009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Provide students time to read their assigned sources and answer the corresponding questions.</w:t>
            </w:r>
          </w:p>
          <w:p w:rsidR="00000000" w:rsidDel="00000000" w:rsidP="00000000" w:rsidRDefault="00000000" w:rsidRPr="00000000" w14:paraId="00000093">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Bring the class back together to discuss the two perspectives. </w:t>
            </w:r>
          </w:p>
          <w:p w:rsidR="00000000" w:rsidDel="00000000" w:rsidP="00000000" w:rsidRDefault="00000000" w:rsidRPr="00000000" w14:paraId="0000009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Using the </w:t>
            </w:r>
            <w:hyperlink r:id="rId32">
              <w:r w:rsidDel="00000000" w:rsidR="00000000" w:rsidRPr="00000000">
                <w:rPr>
                  <w:rFonts w:ascii="Helvetica Neue" w:cs="Helvetica Neue" w:eastAsia="Helvetica Neue" w:hAnsi="Helvetica Neue"/>
                  <w:color w:val="ea222d"/>
                  <w:sz w:val="24"/>
                  <w:szCs w:val="24"/>
                  <w:u w:val="single"/>
                  <w:rtl w:val="0"/>
                </w:rPr>
                <w:t xml:space="preserve">Historical Thinking Prompts Slide</w:t>
              </w:r>
            </w:hyperlink>
            <w:r w:rsidDel="00000000" w:rsidR="00000000" w:rsidRPr="00000000">
              <w:rPr>
                <w:rFonts w:ascii="Helvetica Neue" w:cs="Helvetica Neue" w:eastAsia="Helvetica Neue" w:hAnsi="Helvetica Neue"/>
                <w:sz w:val="24"/>
                <w:szCs w:val="24"/>
                <w:rtl w:val="0"/>
              </w:rPr>
              <w:t xml:space="preserve">, lead students through a discussion.</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Bring students back together and have them watch an excerpt from C-SPAN of </w:t>
            </w:r>
            <w:hyperlink r:id="rId33">
              <w:r w:rsidDel="00000000" w:rsidR="00000000" w:rsidRPr="00000000">
                <w:rPr>
                  <w:rFonts w:ascii="Helvetica Neue" w:cs="Helvetica Neue" w:eastAsia="Helvetica Neue" w:hAnsi="Helvetica Neue"/>
                  <w:color w:val="ea222d"/>
                  <w:sz w:val="24"/>
                  <w:szCs w:val="24"/>
                  <w:u w:val="single"/>
                  <w:rtl w:val="0"/>
                </w:rPr>
                <w:t xml:space="preserve">President Johnson's speech to Congress</w:t>
              </w:r>
            </w:hyperlink>
            <w:r w:rsidDel="00000000" w:rsidR="00000000" w:rsidRPr="00000000">
              <w:rPr>
                <w:rFonts w:ascii="Helvetica Neue" w:cs="Helvetica Neue" w:eastAsia="Helvetica Neue" w:hAnsi="Helvetica Neue"/>
                <w:sz w:val="24"/>
                <w:szCs w:val="24"/>
                <w:rtl w:val="0"/>
              </w:rPr>
              <w:t xml:space="preserve"> about the Voting Rights Act to understand why, despite the varying viewpoints, the legislation passed.</w:t>
            </w:r>
          </w:p>
          <w:p w:rsidR="00000000" w:rsidDel="00000000" w:rsidP="00000000" w:rsidRDefault="00000000" w:rsidRPr="00000000" w14:paraId="0000009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 Have students identify one line/quote from President Lyndon B. Johnson they feel best captures the impact of the Declaration’s promises 189 years after its creation. If they need extra assistance, the text of the speech is included in the C-SPAN resource.</w:t>
            </w:r>
          </w:p>
        </w:tc>
      </w:tr>
    </w:tbl>
    <w:p w:rsidR="00000000" w:rsidDel="00000000" w:rsidP="00000000" w:rsidRDefault="00000000" w:rsidRPr="00000000" w14:paraId="00000098">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976w7c7hosml" w:id="3"/>
      <w:bookmarkEnd w:id="3"/>
      <w:r w:rsidDel="00000000" w:rsidR="00000000" w:rsidRPr="00000000">
        <w:br w:type="page"/>
      </w:r>
      <w:r w:rsidDel="00000000" w:rsidR="00000000" w:rsidRPr="00000000">
        <w:rPr>
          <w:rtl w:val="0"/>
        </w:rPr>
      </w:r>
    </w:p>
    <w:p w:rsidR="00000000" w:rsidDel="00000000" w:rsidP="00000000" w:rsidRDefault="00000000" w:rsidRPr="00000000" w14:paraId="00000099">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6zbbqov7ccs2" w:id="4"/>
      <w:bookmarkEnd w:id="4"/>
      <w:r w:rsidDel="00000000" w:rsidR="00000000" w:rsidRPr="00000000">
        <w:rPr>
          <w:rFonts w:ascii="Helvetica Neue" w:cs="Helvetica Neue" w:eastAsia="Helvetica Neue" w:hAnsi="Helvetica Neue"/>
          <w:b w:val="1"/>
          <w:color w:val="ffffff"/>
          <w:sz w:val="28"/>
          <w:szCs w:val="28"/>
          <w:highlight w:val="white"/>
          <w:rtl w:val="0"/>
        </w:rPr>
        <w:t xml:space="preserve">ADDITIONAL</w:t>
      </w:r>
      <w:r w:rsidDel="00000000" w:rsidR="00000000" w:rsidRPr="00000000">
        <w:rPr>
          <w:rFonts w:ascii="Helvetica Neue" w:cs="Helvetica Neue" w:eastAsia="Helvetica Neue" w:hAnsi="Helvetica Neue"/>
          <w:b w:val="1"/>
          <w:color w:val="ffffff"/>
          <w:sz w:val="28"/>
          <w:szCs w:val="28"/>
          <w:highlight w:val="white"/>
          <w:rtl w:val="0"/>
        </w:rPr>
        <w:t xml:space="preserve"> RESOURCES AND SAMPLE ANSWERS </w:t>
      </w: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numPr>
                <w:ilvl w:val="0"/>
                <w:numId w:val="4"/>
              </w:numPr>
              <w:spacing w:after="0" w:before="0" w:line="240" w:lineRule="auto"/>
              <w:ind w:left="720" w:hanging="360"/>
              <w:rPr>
                <w:rFonts w:ascii="Helvetica Neue" w:cs="Helvetica Neue" w:eastAsia="Helvetica Neue" w:hAnsi="Helvetica Neue"/>
                <w:sz w:val="24"/>
                <w:szCs w:val="24"/>
                <w:u w:val="none"/>
              </w:rPr>
            </w:pPr>
            <w:hyperlink r:id="rId34">
              <w:r w:rsidDel="00000000" w:rsidR="00000000" w:rsidRPr="00000000">
                <w:rPr>
                  <w:rFonts w:ascii="Helvetica Neue" w:cs="Helvetica Neue" w:eastAsia="Helvetica Neue" w:hAnsi="Helvetica Neue"/>
                  <w:color w:val="1155cc"/>
                  <w:sz w:val="24"/>
                  <w:szCs w:val="24"/>
                  <w:u w:val="single"/>
                  <w:rtl w:val="0"/>
                </w:rPr>
                <w:t xml:space="preserve">Sample Literacy Test Questions</w:t>
              </w:r>
            </w:hyperlink>
            <w:r w:rsidDel="00000000" w:rsidR="00000000" w:rsidRPr="00000000">
              <w:rPr>
                <w:rFonts w:ascii="Helvetica Neue" w:cs="Helvetica Neue" w:eastAsia="Helvetica Neue" w:hAnsi="Helvetica Neue"/>
                <w:sz w:val="24"/>
                <w:szCs w:val="24"/>
                <w:rtl w:val="0"/>
              </w:rPr>
              <w:t xml:space="preserve"> (answers at end of document)</w:t>
            </w:r>
            <w:r w:rsidDel="00000000" w:rsidR="00000000" w:rsidRPr="00000000">
              <w:rPr>
                <w:rtl w:val="0"/>
              </w:rPr>
            </w:r>
          </w:p>
          <w:p w:rsidR="00000000" w:rsidDel="00000000" w:rsidP="00000000" w:rsidRDefault="00000000" w:rsidRPr="00000000" w14:paraId="0000009C">
            <w:pPr>
              <w:widowControl w:val="0"/>
              <w:numPr>
                <w:ilvl w:val="0"/>
                <w:numId w:val="4"/>
              </w:numPr>
              <w:spacing w:after="0" w:before="0" w:line="240" w:lineRule="auto"/>
              <w:ind w:left="720" w:hanging="360"/>
              <w:rPr>
                <w:rFonts w:ascii="Helvetica Neue" w:cs="Helvetica Neue" w:eastAsia="Helvetica Neue" w:hAnsi="Helvetica Neue"/>
                <w:sz w:val="24"/>
                <w:szCs w:val="24"/>
                <w:u w:val="none"/>
              </w:rPr>
            </w:pPr>
            <w:hyperlink r:id="rId35">
              <w:r w:rsidDel="00000000" w:rsidR="00000000" w:rsidRPr="00000000">
                <w:rPr>
                  <w:rFonts w:ascii="Helvetica Neue" w:cs="Helvetica Neue" w:eastAsia="Helvetica Neue" w:hAnsi="Helvetica Neue"/>
                  <w:color w:val="1155cc"/>
                  <w:sz w:val="24"/>
                  <w:szCs w:val="24"/>
                  <w:u w:val="single"/>
                  <w:rtl w:val="0"/>
                </w:rPr>
                <w:t xml:space="preserve">Letters Opposing the Voting Rights Act of 1965 Questions</w:t>
              </w:r>
            </w:hyperlink>
            <w:r w:rsidDel="00000000" w:rsidR="00000000" w:rsidRPr="00000000">
              <w:rPr>
                <w:rtl w:val="0"/>
              </w:rPr>
            </w:r>
          </w:p>
          <w:p w:rsidR="00000000" w:rsidDel="00000000" w:rsidP="00000000" w:rsidRDefault="00000000" w:rsidRPr="00000000" w14:paraId="0000009D">
            <w:pPr>
              <w:widowControl w:val="0"/>
              <w:numPr>
                <w:ilvl w:val="0"/>
                <w:numId w:val="4"/>
              </w:numPr>
              <w:spacing w:after="0" w:before="0" w:line="240" w:lineRule="auto"/>
              <w:ind w:left="720" w:hanging="360"/>
              <w:rPr>
                <w:rFonts w:ascii="Helvetica Neue" w:cs="Helvetica Neue" w:eastAsia="Helvetica Neue" w:hAnsi="Helvetica Neue"/>
                <w:sz w:val="24"/>
                <w:szCs w:val="24"/>
                <w:u w:val="none"/>
              </w:rPr>
            </w:pPr>
            <w:hyperlink r:id="rId36">
              <w:r w:rsidDel="00000000" w:rsidR="00000000" w:rsidRPr="00000000">
                <w:rPr>
                  <w:rFonts w:ascii="Helvetica Neue" w:cs="Helvetica Neue" w:eastAsia="Helvetica Neue" w:hAnsi="Helvetica Neue"/>
                  <w:color w:val="1155cc"/>
                  <w:sz w:val="24"/>
                  <w:szCs w:val="24"/>
                  <w:u w:val="single"/>
                  <w:rtl w:val="0"/>
                </w:rPr>
                <w:t xml:space="preserve">Letters Supporting the Voting Rights Act of 1965 Questions</w:t>
              </w:r>
            </w:hyperlink>
            <w:r w:rsidDel="00000000" w:rsidR="00000000" w:rsidRPr="00000000">
              <w:rPr>
                <w:rtl w:val="0"/>
              </w:rPr>
            </w:r>
          </w:p>
        </w:tc>
      </w:tr>
    </w:tbl>
    <w:p w:rsidR="00000000" w:rsidDel="00000000" w:rsidP="00000000" w:rsidRDefault="00000000" w:rsidRPr="00000000" w14:paraId="0000009E">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rFonts w:ascii="Helvetica Neue" w:cs="Helvetica Neue" w:eastAsia="Helvetica Neue" w:hAnsi="Helvetica Neue"/>
                <w:sz w:val="24"/>
                <w:szCs w:val="24"/>
              </w:rPr>
            </w:pPr>
            <w:hyperlink r:id="rId37">
              <w:r w:rsidDel="00000000" w:rsidR="00000000" w:rsidRPr="00000000">
                <w:rPr>
                  <w:rFonts w:ascii="Helvetica Neue" w:cs="Helvetica Neue" w:eastAsia="Helvetica Neue" w:hAnsi="Helvetica Neue"/>
                  <w:color w:val="1155cc"/>
                  <w:sz w:val="24"/>
                  <w:szCs w:val="24"/>
                  <w:u w:val="single"/>
                  <w:rtl w:val="0"/>
                </w:rPr>
                <w:t xml:space="preserve">C-SPAN Classroom Featured Resources for Black History and Civil Rights</w:t>
              </w:r>
            </w:hyperlink>
            <w:r w:rsidDel="00000000" w:rsidR="00000000" w:rsidRPr="00000000">
              <w:rPr>
                <w:rtl w:val="0"/>
              </w:rPr>
            </w:r>
          </w:p>
          <w:p w:rsidR="00000000" w:rsidDel="00000000" w:rsidP="00000000" w:rsidRDefault="00000000" w:rsidRPr="00000000" w14:paraId="000000A1">
            <w:pPr>
              <w:widowControl w:val="0"/>
              <w:spacing w:line="240" w:lineRule="auto"/>
              <w:rPr>
                <w:rFonts w:ascii="Helvetica Neue" w:cs="Helvetica Neue" w:eastAsia="Helvetica Neue" w:hAnsi="Helvetica Neue"/>
                <w:sz w:val="24"/>
                <w:szCs w:val="24"/>
              </w:rPr>
            </w:pPr>
            <w:hyperlink r:id="rId38">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A2">
            <w:pPr>
              <w:widowControl w:val="0"/>
              <w:spacing w:line="240" w:lineRule="auto"/>
              <w:rPr>
                <w:rFonts w:ascii="Helvetica Neue" w:cs="Helvetica Neue" w:eastAsia="Helvetica Neue" w:hAnsi="Helvetica Neue"/>
                <w:sz w:val="24"/>
                <w:szCs w:val="24"/>
              </w:rPr>
            </w:pPr>
            <w:hyperlink r:id="rId39">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tc>
      </w:tr>
    </w:tbl>
    <w:p w:rsidR="00000000" w:rsidDel="00000000" w:rsidP="00000000" w:rsidRDefault="00000000" w:rsidRPr="00000000" w14:paraId="000000A3">
      <w:pPr>
        <w:pStyle w:val="Heading2"/>
        <w:spacing w:line="240" w:lineRule="auto"/>
        <w:jc w:val="left"/>
        <w:rPr>
          <w:rFonts w:ascii="Times New Roman" w:cs="Times New Roman" w:eastAsia="Times New Roman" w:hAnsi="Times New Roman"/>
          <w:sz w:val="24"/>
          <w:szCs w:val="24"/>
        </w:rPr>
      </w:pPr>
      <w:bookmarkStart w:colFirst="0" w:colLast="0" w:name="_hmg82wankz3u" w:id="5"/>
      <w:bookmarkEnd w:id="5"/>
      <w:r w:rsidDel="00000000" w:rsidR="00000000" w:rsidRPr="00000000">
        <w:rPr>
          <w:rtl w:val="0"/>
        </w:rPr>
      </w:r>
    </w:p>
    <w:sectPr>
      <w:headerReference r:id="rId40"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5">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A6">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3"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eader" Target="header3.xml"/><Relationship Id="rId20" Type="http://schemas.openxmlformats.org/officeDocument/2006/relationships/hyperlink" Target="https://www.law.cornell.edu/constitution/first_amendment" TargetMode="External"/><Relationship Id="rId22" Type="http://schemas.openxmlformats.org/officeDocument/2006/relationships/hyperlink" Target="https://www.archives.gov/milestone-documents/14th-amendment" TargetMode="External"/><Relationship Id="rId21" Type="http://schemas.openxmlformats.org/officeDocument/2006/relationships/hyperlink" Target="https://www.archives.gov/milestone-documents/15th-amendment" TargetMode="External"/><Relationship Id="rId24" Type="http://schemas.openxmlformats.org/officeDocument/2006/relationships/hyperlink" Target="https://www.archives.gov/milestone-documents/13th-amendment" TargetMode="External"/><Relationship Id="rId23" Type="http://schemas.openxmlformats.org/officeDocument/2006/relationships/hyperlink" Target="https://supreme.justia.com/cases/federal/us/163/53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c-span.org/classroom/document/?24041" TargetMode="External"/><Relationship Id="rId25" Type="http://schemas.openxmlformats.org/officeDocument/2006/relationships/hyperlink" Target="https://docs.google.com/document/d/10ClLS9gyYwyzg2lTpA6UbWzGyr8JxzYzteyIMvQJmow/edit?usp=sharing" TargetMode="External"/><Relationship Id="rId28" Type="http://schemas.openxmlformats.org/officeDocument/2006/relationships/hyperlink" Target="https://drive.google.com/file/d/1VkSeSCa-9Pw1i3Mp5FC5DFMEhAr34fNP/view?usp=drive_link" TargetMode="External"/><Relationship Id="rId27" Type="http://schemas.openxmlformats.org/officeDocument/2006/relationships/hyperlink" Target="https://docs.google.com/presentation/d/1vFcvVejKnVe09Yh1LBoHgELHP4c6SqFcotLjn4H0EPw/edit?usp=sharing"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drive.google.com/file/d/1VkSeSCa-9Pw1i3Mp5FC5DFMEhAr34fNP/view?usp=drive_link" TargetMode="Externa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s://docs.google.com/document/d/1y6jacMii5woivsBVH-Rr7RRNve_RlDmFvCl_ghuCqe8/edit?usp=sharing" TargetMode="External"/><Relationship Id="rId30" Type="http://schemas.openxmlformats.org/officeDocument/2006/relationships/hyperlink" Target="https://docs.google.com/document/d/1owU7P-SxCsAzoyug9NQ0EdVKEHzNNu0W981GMOfs8-g/edit?usp=sharing" TargetMode="External"/><Relationship Id="rId11" Type="http://schemas.openxmlformats.org/officeDocument/2006/relationships/image" Target="media/image1.png"/><Relationship Id="rId33" Type="http://schemas.openxmlformats.org/officeDocument/2006/relationships/hyperlink" Target="https://www.c-span.org/classroom/document/?24042" TargetMode="External"/><Relationship Id="rId10" Type="http://schemas.openxmlformats.org/officeDocument/2006/relationships/image" Target="media/image3.png"/><Relationship Id="rId32" Type="http://schemas.openxmlformats.org/officeDocument/2006/relationships/hyperlink" Target="https://docs.google.com/presentation/d/1MHwlP2oNydPZTcLcLEHtMCrgFFb5Ae4rEPfTQZOyiRY/edit?usp=sharing" TargetMode="External"/><Relationship Id="rId13" Type="http://schemas.openxmlformats.org/officeDocument/2006/relationships/hyperlink" Target="https://louis.pressbooks.pub/introamericangov/chapter/the-african-american-struggle-for-equality/" TargetMode="External"/><Relationship Id="rId35" Type="http://schemas.openxmlformats.org/officeDocument/2006/relationships/hyperlink" Target="https://docs.google.com/document/d/1x9zL99rf3R1mJLgdjGb3JSRpNWVsfEEOMGMXMI9Kc7c/edit?usp=sharing" TargetMode="External"/><Relationship Id="rId12" Type="http://schemas.openxmlformats.org/officeDocument/2006/relationships/hyperlink" Target="https://centerforindividualism.org/individualism-founding-fathers-part-1-liberty-limited-government/" TargetMode="External"/><Relationship Id="rId34" Type="http://schemas.openxmlformats.org/officeDocument/2006/relationships/hyperlink" Target="https://jimcrowmuseum.ferris.edu/pdfs-docs/origins/al_literacy.pdf" TargetMode="External"/><Relationship Id="rId15" Type="http://schemas.openxmlformats.org/officeDocument/2006/relationships/hyperlink" Target="https://www.dar.org/archives/signers-declaration-independence" TargetMode="External"/><Relationship Id="rId37" Type="http://schemas.openxmlformats.org/officeDocument/2006/relationships/hyperlink" Target="https://sites.google.com/view/c-spanclassroom-featured/u-s-and-state-history/u-s-history#h.p_w5tceVNLugcq" TargetMode="External"/><Relationship Id="rId14" Type="http://schemas.openxmlformats.org/officeDocument/2006/relationships/hyperlink" Target="https://www.britannica.com/topic/The-Founding-Fathers-and-Slavery-1269536" TargetMode="External"/><Relationship Id="rId36" Type="http://schemas.openxmlformats.org/officeDocument/2006/relationships/hyperlink" Target="https://docs.google.com/document/d/1LAwUMI8Xdefd9vSgZ3qJIJe9l9j2pIxshh5Pf9vmXDk/edit?usp=drive_link" TargetMode="External"/><Relationship Id="rId17" Type="http://schemas.openxmlformats.org/officeDocument/2006/relationships/hyperlink" Target="https://supreme.justia.com/cases/federal/us/347/483/" TargetMode="External"/><Relationship Id="rId39" Type="http://schemas.openxmlformats.org/officeDocument/2006/relationships/hyperlink" Target="https://www.archives.gov/education/lessons/worksheets" TargetMode="External"/><Relationship Id="rId16" Type="http://schemas.openxmlformats.org/officeDocument/2006/relationships/hyperlink" Target="https://sk.sagepub.com/book/edvol/the-african-american-electorate/chpt/rare-african-american-registration-voting-data-episodic" TargetMode="External"/><Relationship Id="rId38" Type="http://schemas.openxmlformats.org/officeDocument/2006/relationships/hyperlink" Target="http://floridacitizen.org" TargetMode="External"/><Relationship Id="rId19" Type="http://schemas.openxmlformats.org/officeDocument/2006/relationships/hyperlink" Target="https://supreme.justia.com/cases/federal/us/60/393/" TargetMode="External"/><Relationship Id="rId18" Type="http://schemas.openxmlformats.org/officeDocument/2006/relationships/hyperlink" Target="https://www.archives.gov/milestone-documents/civil-rights-a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